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60" w:rsidRDefault="002165E2">
      <w:pPr>
        <w:rPr>
          <w:lang w:val="uk-UA"/>
        </w:rPr>
      </w:pPr>
      <w:r w:rsidRPr="002165E2"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45.15pt;margin-top:6.55pt;width:93.35pt;height:29.1pt;z-index:251660288;mso-width-relative:margin;mso-height-relative:margin" stroked="f">
            <v:textbox>
              <w:txbxContent>
                <w:p w:rsidR="00D41C60" w:rsidRPr="00D41C60" w:rsidRDefault="00D41C60">
                  <w:pPr>
                    <w:rPr>
                      <w:sz w:val="28"/>
                      <w:szCs w:val="28"/>
                    </w:rPr>
                  </w:pPr>
                  <w:r w:rsidRPr="00D41C60">
                    <w:rPr>
                      <w:sz w:val="28"/>
                      <w:szCs w:val="28"/>
                      <w:lang w:val="uk-UA"/>
                    </w:rPr>
                    <w:t>Діаграма 5</w:t>
                  </w:r>
                </w:p>
              </w:txbxContent>
            </v:textbox>
          </v:shape>
        </w:pict>
      </w:r>
    </w:p>
    <w:p w:rsidR="00D41C60" w:rsidRDefault="00D41C60">
      <w:pPr>
        <w:rPr>
          <w:lang w:val="uk-UA"/>
        </w:rPr>
      </w:pPr>
    </w:p>
    <w:p w:rsidR="00B45104" w:rsidRDefault="00314739">
      <w:r w:rsidRPr="00314739">
        <w:drawing>
          <wp:inline distT="0" distB="0" distL="0" distR="0">
            <wp:extent cx="9221470" cy="4826000"/>
            <wp:effectExtent l="19050" t="0" r="177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B45104" w:rsidSect="00D41C6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41C60"/>
    <w:rsid w:val="00186503"/>
    <w:rsid w:val="00191081"/>
    <w:rsid w:val="002165E2"/>
    <w:rsid w:val="00314739"/>
    <w:rsid w:val="006C3017"/>
    <w:rsid w:val="00766AEC"/>
    <w:rsid w:val="008D11A2"/>
    <w:rsid w:val="009F3E9F"/>
    <w:rsid w:val="00A61B51"/>
    <w:rsid w:val="00B45104"/>
    <w:rsid w:val="00D24EE8"/>
    <w:rsid w:val="00D41C60"/>
    <w:rsid w:val="00D67608"/>
    <w:rsid w:val="00E83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C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Robota\2017\&#1047;&#1074;&#1110;&#1090;%20&#1074;&#1080;&#1082;&#1086;&#1085;&#1072;&#1074;&#1095;&#1080;&#1093;%20&#1086;&#1088;&#1075;&#1072;&#1085;&#1110;&#1074;\&#1076;&#1110;&#1072;&#1075;&#1088;&#1072;&#1084;&#1080;\&#1044;&#1110;&#1072;&#1075;&#1088;&#1072;&#1084;&#1080;%20%20&#1079;&#1072;%202016%20-2017%20&#1088;&#1110;&#1082;%20&#1074;&#1080;&#1076;&#1072;&#109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Виконання</a:t>
            </a:r>
            <a:r>
              <a:rPr lang="ru-RU" sz="1200" baseline="0"/>
              <a:t> бюджету міста по видатках за 2016 рік в порівнянні з 2015 роком за галузевою структурою  </a:t>
            </a:r>
            <a:r>
              <a:rPr lang="en-US" sz="1200" baseline="0"/>
              <a:t> </a:t>
            </a:r>
            <a:r>
              <a:rPr lang="ru-RU" sz="1200" baseline="0"/>
              <a:t>(всього видатки за 2016 рік - 340 125,9 тис.грн, за 2015 рік -315 734,2 тис.грн)</a:t>
            </a:r>
            <a:endParaRPr lang="ru-RU" sz="1200"/>
          </a:p>
        </c:rich>
      </c:tx>
      <c:layout>
        <c:manualLayout>
          <c:xMode val="edge"/>
          <c:yMode val="edge"/>
          <c:x val="0.17807647102236646"/>
          <c:y val="2.5384154646577277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'2016 (галузі динаміка) ут'!$B$4</c:f>
              <c:strCache>
                <c:ptCount val="1"/>
                <c:pt idx="0">
                  <c:v>Виконано за 2016 рік</c:v>
                </c:pt>
              </c:strCache>
            </c:strRef>
          </c:tx>
          <c:dLbls>
            <c:dLbl>
              <c:idx val="1"/>
              <c:layout>
                <c:manualLayout>
                  <c:x val="-4.5499415195180554E-3"/>
                  <c:y val="-4.2769971977249322E-3"/>
                </c:manualLayout>
              </c:layout>
              <c:showVal val="1"/>
            </c:dLbl>
            <c:txPr>
              <a:bodyPr anchor="b" anchorCtr="0"/>
              <a:lstStyle/>
              <a:p>
                <a:pPr>
                  <a:defRPr sz="800" baseline="0"/>
                </a:pPr>
                <a:endParaRPr lang="ru-RU"/>
              </a:p>
            </c:txPr>
            <c:showVal val="1"/>
          </c:dLbls>
          <c:cat>
            <c:strRef>
              <c:f>'2016 (галузі динаміка) ут'!$A$5:$A$14</c:f>
              <c:strCache>
                <c:ptCount val="10"/>
                <c:pt idx="0">
                  <c:v>Соціальний захист та соціальне забезпечення</c:v>
                </c:pt>
                <c:pt idx="1">
                  <c:v>Культура та мистецтво</c:v>
                </c:pt>
                <c:pt idx="2">
                  <c:v>Фізична культура і спорт</c:v>
                </c:pt>
                <c:pt idx="3">
                  <c:v>Органи місцевого самоврядування</c:v>
                </c:pt>
                <c:pt idx="4">
                  <c:v>Освіта</c:v>
                </c:pt>
                <c:pt idx="5">
                  <c:v>Охорона здоров'я</c:v>
                </c:pt>
                <c:pt idx="6">
                  <c:v>Видатки на житлово-комунальне господарство, ремонт доріг, внески у статутний фонд</c:v>
                </c:pt>
                <c:pt idx="7">
                  <c:v>Капітальні вкладення</c:v>
                </c:pt>
                <c:pt idx="8">
                  <c:v>Кошти, що передаються до Державного бюджету (реверсна дотація)</c:v>
                </c:pt>
                <c:pt idx="9">
                  <c:v>Інші видатки</c:v>
                </c:pt>
              </c:strCache>
            </c:strRef>
          </c:cat>
          <c:val>
            <c:numRef>
              <c:f>'2016 (галузі динаміка) ут'!$B$5:$B$14</c:f>
              <c:numCache>
                <c:formatCode>#,##0.0</c:formatCode>
                <c:ptCount val="10"/>
                <c:pt idx="0">
                  <c:v>72300</c:v>
                </c:pt>
                <c:pt idx="1">
                  <c:v>8170.7</c:v>
                </c:pt>
                <c:pt idx="2">
                  <c:v>1365.5</c:v>
                </c:pt>
                <c:pt idx="3">
                  <c:v>19158.3</c:v>
                </c:pt>
                <c:pt idx="4">
                  <c:v>113673.9</c:v>
                </c:pt>
                <c:pt idx="5">
                  <c:v>47300.3</c:v>
                </c:pt>
                <c:pt idx="6">
                  <c:v>34198.199999999997</c:v>
                </c:pt>
                <c:pt idx="7">
                  <c:v>5975.1</c:v>
                </c:pt>
                <c:pt idx="8">
                  <c:v>35431.4</c:v>
                </c:pt>
                <c:pt idx="9">
                  <c:v>2552.5</c:v>
                </c:pt>
              </c:numCache>
            </c:numRef>
          </c:val>
        </c:ser>
        <c:ser>
          <c:idx val="1"/>
          <c:order val="1"/>
          <c:tx>
            <c:strRef>
              <c:f>'2016 (галузі динаміка) ут'!$C$4</c:f>
              <c:strCache>
                <c:ptCount val="1"/>
                <c:pt idx="0">
                  <c:v>Виконано за 2015 рік</c:v>
                </c:pt>
              </c:strCache>
            </c:strRef>
          </c:tx>
          <c:dLbls>
            <c:dLbl>
              <c:idx val="0"/>
              <c:layout>
                <c:manualLayout>
                  <c:x val="1.3649824558554145E-2"/>
                  <c:y val="6.4154957965873805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7.5832358658633938E-3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0616530212208783E-2"/>
                  <c:y val="2.1384985988624644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7.5832358658634415E-3"/>
                  <c:y val="0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1.3649824558554183E-2"/>
                  <c:y val="3.9205354742208648E-1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9.0998830390361246E-3"/>
                  <c:y val="0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9.0998830390361246E-3"/>
                  <c:y val="0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1.9716413251245023E-2"/>
                  <c:y val="5.6409232547949524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1.2133177385381369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1.061653021220884E-2"/>
                  <c:y val="0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50" baseline="0"/>
                </a:pPr>
                <a:endParaRPr lang="ru-RU"/>
              </a:p>
            </c:txPr>
            <c:dLblPos val="outEnd"/>
            <c:showVal val="1"/>
          </c:dLbls>
          <c:cat>
            <c:strRef>
              <c:f>'2016 (галузі динаміка) ут'!$A$5:$A$14</c:f>
              <c:strCache>
                <c:ptCount val="10"/>
                <c:pt idx="0">
                  <c:v>Соціальний захист та соціальне забезпечення</c:v>
                </c:pt>
                <c:pt idx="1">
                  <c:v>Культура та мистецтво</c:v>
                </c:pt>
                <c:pt idx="2">
                  <c:v>Фізична культура і спорт</c:v>
                </c:pt>
                <c:pt idx="3">
                  <c:v>Органи місцевого самоврядування</c:v>
                </c:pt>
                <c:pt idx="4">
                  <c:v>Освіта</c:v>
                </c:pt>
                <c:pt idx="5">
                  <c:v>Охорона здоров'я</c:v>
                </c:pt>
                <c:pt idx="6">
                  <c:v>Видатки на житлово-комунальне господарство, ремонт доріг, внески у статутний фонд</c:v>
                </c:pt>
                <c:pt idx="7">
                  <c:v>Капітальні вкладення</c:v>
                </c:pt>
                <c:pt idx="8">
                  <c:v>Кошти, що передаються до Державного бюджету (реверсна дотація)</c:v>
                </c:pt>
                <c:pt idx="9">
                  <c:v>Інші видатки</c:v>
                </c:pt>
              </c:strCache>
            </c:strRef>
          </c:cat>
          <c:val>
            <c:numRef>
              <c:f>'2016 (галузі динаміка) ут'!$C$5:$C$14</c:f>
              <c:numCache>
                <c:formatCode>#,##0.0</c:formatCode>
                <c:ptCount val="10"/>
                <c:pt idx="0">
                  <c:v>63443.6</c:v>
                </c:pt>
                <c:pt idx="1">
                  <c:v>6783.4</c:v>
                </c:pt>
                <c:pt idx="2">
                  <c:v>1141.8</c:v>
                </c:pt>
                <c:pt idx="3">
                  <c:v>17551</c:v>
                </c:pt>
                <c:pt idx="4">
                  <c:v>92933.8</c:v>
                </c:pt>
                <c:pt idx="5">
                  <c:v>47757.5</c:v>
                </c:pt>
                <c:pt idx="6">
                  <c:v>25657.4</c:v>
                </c:pt>
                <c:pt idx="7">
                  <c:v>5340.1</c:v>
                </c:pt>
                <c:pt idx="8">
                  <c:v>33220.5</c:v>
                </c:pt>
                <c:pt idx="9">
                  <c:v>2506.1</c:v>
                </c:pt>
              </c:numCache>
            </c:numRef>
          </c:val>
        </c:ser>
        <c:gapWidth val="114"/>
        <c:overlap val="-30"/>
        <c:axId val="52055424"/>
        <c:axId val="52073600"/>
      </c:barChart>
      <c:catAx>
        <c:axId val="52055424"/>
        <c:scaling>
          <c:orientation val="minMax"/>
        </c:scaling>
        <c:axPos val="b"/>
        <c:majorTickMark val="none"/>
        <c:tickLblPos val="nextTo"/>
        <c:txPr>
          <a:bodyPr rot="-5400000" vert="horz" anchor="t" anchorCtr="0"/>
          <a:lstStyle/>
          <a:p>
            <a:pPr>
              <a:defRPr/>
            </a:pPr>
            <a:endParaRPr lang="ru-RU"/>
          </a:p>
        </c:txPr>
        <c:crossAx val="52073600"/>
        <c:crosses val="autoZero"/>
        <c:auto val="1"/>
        <c:lblAlgn val="ctr"/>
        <c:lblOffset val="100"/>
        <c:tickLblSkip val="1"/>
      </c:catAx>
      <c:valAx>
        <c:axId val="52073600"/>
        <c:scaling>
          <c:orientation val="minMax"/>
        </c:scaling>
        <c:axPos val="l"/>
        <c:majorGridlines/>
        <c:numFmt formatCode="#,##0.0" sourceLinked="1"/>
        <c:majorTickMark val="none"/>
        <c:tickLblPos val="nextTo"/>
        <c:spPr>
          <a:ln w="9525">
            <a:noFill/>
          </a:ln>
        </c:spPr>
        <c:crossAx val="52055424"/>
        <c:crosses val="autoZero"/>
        <c:crossBetween val="between"/>
      </c:valAx>
    </c:plotArea>
    <c:legend>
      <c:legendPos val="b"/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7</cp:revision>
  <cp:lastPrinted>2017-09-21T10:08:00Z</cp:lastPrinted>
  <dcterms:created xsi:type="dcterms:W3CDTF">2017-09-21T07:47:00Z</dcterms:created>
  <dcterms:modified xsi:type="dcterms:W3CDTF">2017-09-21T12:27:00Z</dcterms:modified>
</cp:coreProperties>
</file>